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C5683" w14:textId="77777777" w:rsidR="004E109C" w:rsidRDefault="008A119F">
      <w:pPr>
        <w:tabs>
          <w:tab w:val="left" w:pos="-1080"/>
          <w:tab w:val="left" w:pos="-720"/>
          <w:tab w:val="left" w:pos="0"/>
          <w:tab w:val="left" w:pos="720"/>
        </w:tabs>
        <w:suppressAutoHyphens/>
        <w:jc w:val="both"/>
        <w:rPr>
          <w:rFonts w:ascii="Arial" w:hAnsi="Arial"/>
          <w:sz w:val="22"/>
        </w:rPr>
      </w:pPr>
      <w:r>
        <w:rPr>
          <w:rFonts w:ascii="Arial" w:hAnsi="Arial"/>
          <w:b/>
          <w:sz w:val="22"/>
        </w:rPr>
        <w:t>20</w:t>
      </w:r>
      <w:r w:rsidR="004E109C">
        <w:rPr>
          <w:rFonts w:ascii="Arial" w:hAnsi="Arial"/>
          <w:b/>
          <w:sz w:val="22"/>
        </w:rPr>
        <w:t>.</w:t>
      </w:r>
      <w:r w:rsidR="004E109C">
        <w:rPr>
          <w:rFonts w:ascii="Arial" w:hAnsi="Arial"/>
          <w:b/>
          <w:sz w:val="22"/>
        </w:rPr>
        <w:tab/>
        <w:t>Resolution Accepting Bid</w:t>
      </w:r>
      <w:r w:rsidR="004E109C">
        <w:rPr>
          <w:rStyle w:val="EndnoteReference"/>
          <w:rFonts w:ascii="Arial" w:hAnsi="Arial"/>
          <w:b/>
          <w:sz w:val="22"/>
        </w:rPr>
        <w:endnoteReference w:id="2"/>
      </w:r>
    </w:p>
    <w:p w14:paraId="743FC6B0" w14:textId="77777777" w:rsidR="004E109C" w:rsidRDefault="004E109C">
      <w:pPr>
        <w:tabs>
          <w:tab w:val="left" w:pos="-1080"/>
          <w:tab w:val="left" w:pos="-720"/>
          <w:tab w:val="left" w:pos="0"/>
          <w:tab w:val="left" w:pos="360"/>
          <w:tab w:val="left" w:pos="720"/>
        </w:tabs>
        <w:suppressAutoHyphens/>
        <w:jc w:val="both"/>
        <w:rPr>
          <w:rFonts w:ascii="Arial" w:hAnsi="Arial"/>
          <w:sz w:val="22"/>
        </w:rPr>
      </w:pPr>
    </w:p>
    <w:p w14:paraId="4DB64BBE" w14:textId="77777777" w:rsidR="004E109C" w:rsidRDefault="004E109C">
      <w:pPr>
        <w:tabs>
          <w:tab w:val="left" w:pos="-1080"/>
          <w:tab w:val="left" w:pos="-720"/>
          <w:tab w:val="left" w:pos="0"/>
          <w:tab w:val="left" w:pos="360"/>
          <w:tab w:val="left" w:pos="720"/>
        </w:tabs>
        <w:suppressAutoHyphens/>
        <w:jc w:val="both"/>
        <w:rPr>
          <w:rFonts w:ascii="Arial" w:hAnsi="Arial"/>
          <w:sz w:val="22"/>
        </w:rPr>
      </w:pPr>
      <w:r>
        <w:rPr>
          <w:rFonts w:ascii="Arial" w:hAnsi="Arial"/>
          <w:sz w:val="22"/>
        </w:rPr>
        <w:t xml:space="preserve">WHEREAS, pursuant to an advertisement for bids for Improvement No.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the improvement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Street from the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Street to the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Street by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bids were received, opened, and tabulated according to the law, and the following bids were received complying with the advertisement:</w:t>
      </w:r>
    </w:p>
    <w:p w14:paraId="658490F6" w14:textId="77777777" w:rsidR="004E109C" w:rsidRDefault="004E109C">
      <w:pPr>
        <w:tabs>
          <w:tab w:val="left" w:pos="-1080"/>
          <w:tab w:val="left" w:pos="-720"/>
          <w:tab w:val="left" w:pos="0"/>
          <w:tab w:val="left" w:pos="360"/>
          <w:tab w:val="left" w:pos="720"/>
        </w:tabs>
        <w:suppressAutoHyphens/>
        <w:jc w:val="both"/>
        <w:rPr>
          <w:rFonts w:ascii="Arial" w:hAnsi="Arial"/>
          <w:sz w:val="22"/>
        </w:rPr>
      </w:pPr>
    </w:p>
    <w:p w14:paraId="29BA1E83" w14:textId="77777777" w:rsidR="004E109C" w:rsidRDefault="004E109C">
      <w:pPr>
        <w:tabs>
          <w:tab w:val="left" w:pos="-1080"/>
          <w:tab w:val="left" w:pos="-720"/>
          <w:tab w:val="left" w:pos="0"/>
          <w:tab w:val="left" w:pos="360"/>
          <w:tab w:val="left" w:pos="720"/>
          <w:tab w:val="left" w:pos="9360"/>
        </w:tabs>
        <w:suppressAutoHyphens/>
        <w:spacing w:line="360" w:lineRule="auto"/>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p>
    <w:p w14:paraId="643145B4" w14:textId="77777777" w:rsidR="004E109C" w:rsidRDefault="004E109C">
      <w:pPr>
        <w:tabs>
          <w:tab w:val="left" w:pos="-1080"/>
          <w:tab w:val="left" w:pos="-720"/>
          <w:tab w:val="left" w:pos="0"/>
          <w:tab w:val="left" w:pos="360"/>
          <w:tab w:val="left" w:pos="720"/>
          <w:tab w:val="left" w:pos="9360"/>
        </w:tabs>
        <w:suppressAutoHyphens/>
        <w:spacing w:line="360" w:lineRule="auto"/>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p>
    <w:p w14:paraId="514BFA7C" w14:textId="77777777" w:rsidR="004E109C" w:rsidRDefault="004E109C">
      <w:pPr>
        <w:tabs>
          <w:tab w:val="left" w:pos="-1080"/>
          <w:tab w:val="left" w:pos="-720"/>
          <w:tab w:val="left" w:pos="0"/>
          <w:tab w:val="left" w:pos="360"/>
          <w:tab w:val="left" w:pos="720"/>
        </w:tabs>
        <w:suppressAutoHyphens/>
        <w:jc w:val="both"/>
        <w:rPr>
          <w:rFonts w:ascii="Arial" w:hAnsi="Arial"/>
          <w:sz w:val="22"/>
        </w:rPr>
      </w:pPr>
    </w:p>
    <w:p w14:paraId="6AD536B2" w14:textId="77777777" w:rsidR="004E109C" w:rsidRDefault="004E109C">
      <w:pPr>
        <w:tabs>
          <w:tab w:val="left" w:pos="-1080"/>
          <w:tab w:val="left" w:pos="-720"/>
          <w:tab w:val="left" w:pos="0"/>
          <w:tab w:val="left" w:pos="360"/>
          <w:tab w:val="left" w:pos="720"/>
        </w:tabs>
        <w:suppressAutoHyphens/>
        <w:jc w:val="both"/>
        <w:rPr>
          <w:rFonts w:ascii="Arial" w:hAnsi="Arial"/>
          <w:sz w:val="22"/>
        </w:rPr>
      </w:pPr>
      <w:r>
        <w:rPr>
          <w:rFonts w:ascii="Arial" w:hAnsi="Arial"/>
          <w:sz w:val="22"/>
        </w:rPr>
        <w:t xml:space="preserve">AND WHEREAS, it appears that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is the lowest responsible</w:t>
      </w:r>
      <w:r>
        <w:rPr>
          <w:rStyle w:val="EndnoteReference"/>
          <w:rFonts w:ascii="Arial" w:hAnsi="Arial"/>
          <w:sz w:val="22"/>
        </w:rPr>
        <w:endnoteReference w:id="3"/>
      </w:r>
      <w:r>
        <w:rPr>
          <w:rFonts w:ascii="Arial" w:hAnsi="Arial"/>
          <w:sz w:val="22"/>
        </w:rPr>
        <w:t xml:space="preserve"> bidder,</w:t>
      </w:r>
    </w:p>
    <w:p w14:paraId="10A027BA" w14:textId="77777777" w:rsidR="004E109C" w:rsidRDefault="004E109C">
      <w:pPr>
        <w:tabs>
          <w:tab w:val="left" w:pos="-1080"/>
          <w:tab w:val="left" w:pos="-720"/>
          <w:tab w:val="left" w:pos="0"/>
          <w:tab w:val="left" w:pos="360"/>
          <w:tab w:val="left" w:pos="720"/>
        </w:tabs>
        <w:suppressAutoHyphens/>
        <w:jc w:val="both"/>
        <w:rPr>
          <w:rFonts w:ascii="Arial" w:hAnsi="Arial"/>
          <w:sz w:val="22"/>
        </w:rPr>
      </w:pPr>
    </w:p>
    <w:p w14:paraId="6B20D51F" w14:textId="77777777" w:rsidR="004E109C" w:rsidRDefault="004E109C">
      <w:pPr>
        <w:tabs>
          <w:tab w:val="left" w:pos="-1080"/>
          <w:tab w:val="left" w:pos="-720"/>
          <w:tab w:val="left" w:pos="0"/>
          <w:tab w:val="left" w:pos="360"/>
          <w:tab w:val="left" w:pos="720"/>
        </w:tabs>
        <w:suppressAutoHyphens/>
        <w:jc w:val="both"/>
        <w:rPr>
          <w:rFonts w:ascii="Arial" w:hAnsi="Arial"/>
          <w:sz w:val="22"/>
        </w:rPr>
      </w:pPr>
      <w:r>
        <w:rPr>
          <w:rFonts w:ascii="Arial" w:hAnsi="Arial"/>
          <w:sz w:val="22"/>
        </w:rPr>
        <w:t xml:space="preserve">NOW THEREFORE, BE IT RESOLVED BY THE CITY COUNCIL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w:t>
      </w:r>
      <w:smartTag w:uri="urn:schemas-microsoft-com:office:smarttags" w:element="place">
        <w:smartTag w:uri="urn:schemas-microsoft-com:office:smarttags" w:element="State">
          <w:r>
            <w:rPr>
              <w:rFonts w:ascii="Arial" w:hAnsi="Arial"/>
              <w:sz w:val="22"/>
            </w:rPr>
            <w:t>MINNESOTA</w:t>
          </w:r>
        </w:smartTag>
      </w:smartTag>
      <w:r>
        <w:rPr>
          <w:rFonts w:ascii="Arial" w:hAnsi="Arial"/>
          <w:sz w:val="22"/>
        </w:rPr>
        <w:t>:</w:t>
      </w:r>
    </w:p>
    <w:p w14:paraId="659CFC32" w14:textId="77777777" w:rsidR="004E109C" w:rsidRDefault="004E109C">
      <w:pPr>
        <w:tabs>
          <w:tab w:val="left" w:pos="-1080"/>
          <w:tab w:val="left" w:pos="-720"/>
          <w:tab w:val="left" w:pos="0"/>
          <w:tab w:val="left" w:pos="360"/>
          <w:tab w:val="left" w:pos="720"/>
        </w:tabs>
        <w:suppressAutoHyphens/>
        <w:jc w:val="both"/>
        <w:rPr>
          <w:rFonts w:ascii="Arial" w:hAnsi="Arial"/>
          <w:sz w:val="22"/>
        </w:rPr>
      </w:pPr>
    </w:p>
    <w:p w14:paraId="528406C5" w14:textId="77777777" w:rsidR="004E109C" w:rsidRDefault="004E109C">
      <w:pPr>
        <w:tabs>
          <w:tab w:val="left" w:pos="-1080"/>
          <w:tab w:val="left" w:pos="-720"/>
          <w:tab w:val="left" w:pos="0"/>
          <w:tab w:val="left" w:pos="360"/>
          <w:tab w:val="left" w:pos="720"/>
        </w:tabs>
        <w:suppressAutoHyphens/>
        <w:jc w:val="both"/>
        <w:rPr>
          <w:rFonts w:ascii="Arial" w:hAnsi="Arial"/>
          <w:sz w:val="22"/>
        </w:rPr>
      </w:pPr>
      <w:r>
        <w:rPr>
          <w:rFonts w:ascii="Arial" w:hAnsi="Arial"/>
          <w:sz w:val="22"/>
        </w:rPr>
        <w:t>1.</w:t>
      </w:r>
      <w:r>
        <w:rPr>
          <w:rFonts w:ascii="Arial" w:hAnsi="Arial"/>
          <w:sz w:val="22"/>
        </w:rPr>
        <w:tab/>
        <w:t xml:space="preserve">The mayor and clerk are hereby authorized and directed to enter into the attached contract with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in the name of the city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for the improvement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Street from the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Street to the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Street by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according to the plans and specifications therefor approved by the city council and on file in the office of the city clerk.</w:t>
      </w:r>
    </w:p>
    <w:p w14:paraId="2E049008" w14:textId="77777777" w:rsidR="004E109C" w:rsidRDefault="004E109C">
      <w:pPr>
        <w:tabs>
          <w:tab w:val="left" w:pos="-1080"/>
          <w:tab w:val="left" w:pos="-720"/>
          <w:tab w:val="left" w:pos="0"/>
          <w:tab w:val="left" w:pos="360"/>
          <w:tab w:val="left" w:pos="720"/>
        </w:tabs>
        <w:suppressAutoHyphens/>
        <w:jc w:val="both"/>
        <w:rPr>
          <w:rFonts w:ascii="Arial" w:hAnsi="Arial"/>
          <w:sz w:val="22"/>
        </w:rPr>
      </w:pPr>
    </w:p>
    <w:p w14:paraId="00163BEE" w14:textId="77777777" w:rsidR="004E109C" w:rsidRDefault="004E109C">
      <w:pPr>
        <w:tabs>
          <w:tab w:val="left" w:pos="-1080"/>
          <w:tab w:val="left" w:pos="-720"/>
          <w:tab w:val="left" w:pos="0"/>
          <w:tab w:val="left" w:pos="360"/>
          <w:tab w:val="left" w:pos="720"/>
        </w:tabs>
        <w:suppressAutoHyphens/>
        <w:jc w:val="both"/>
        <w:rPr>
          <w:rFonts w:ascii="Arial" w:hAnsi="Arial"/>
          <w:sz w:val="22"/>
        </w:rPr>
      </w:pPr>
      <w:r>
        <w:rPr>
          <w:rFonts w:ascii="Arial" w:hAnsi="Arial"/>
          <w:sz w:val="22"/>
        </w:rPr>
        <w:t>2.</w:t>
      </w:r>
      <w:r>
        <w:rPr>
          <w:rFonts w:ascii="Arial" w:hAnsi="Arial"/>
          <w:sz w:val="22"/>
        </w:rPr>
        <w:tab/>
        <w:t>The city clerk is hereby authorized and directed to return forthwith to all bidders the deposits made with their bids, except that the deposits of the successful bidder and the next lowest bidder</w:t>
      </w:r>
      <w:r>
        <w:rPr>
          <w:rStyle w:val="EndnoteReference"/>
          <w:rFonts w:ascii="Arial" w:hAnsi="Arial"/>
          <w:sz w:val="22"/>
        </w:rPr>
        <w:endnoteReference w:id="4"/>
      </w:r>
      <w:r>
        <w:rPr>
          <w:rFonts w:ascii="Arial" w:hAnsi="Arial"/>
          <w:sz w:val="22"/>
        </w:rPr>
        <w:t xml:space="preserve"> shall be retained until a contract has been signed.</w:t>
      </w:r>
    </w:p>
    <w:p w14:paraId="7005D5B3" w14:textId="77777777" w:rsidR="004E109C" w:rsidRDefault="004E109C">
      <w:pPr>
        <w:tabs>
          <w:tab w:val="left" w:pos="-1080"/>
          <w:tab w:val="left" w:pos="-720"/>
          <w:tab w:val="left" w:pos="0"/>
          <w:tab w:val="left" w:pos="360"/>
          <w:tab w:val="left" w:pos="720"/>
        </w:tabs>
        <w:suppressAutoHyphens/>
        <w:jc w:val="both"/>
        <w:rPr>
          <w:rFonts w:ascii="Arial" w:hAnsi="Arial"/>
          <w:sz w:val="22"/>
        </w:rPr>
      </w:pPr>
    </w:p>
    <w:p w14:paraId="2AE435BB" w14:textId="77777777" w:rsidR="004E109C" w:rsidRDefault="004E109C">
      <w:pPr>
        <w:tabs>
          <w:tab w:val="left" w:pos="-1080"/>
          <w:tab w:val="left" w:pos="-720"/>
          <w:tab w:val="left" w:pos="0"/>
          <w:tab w:val="left" w:pos="360"/>
          <w:tab w:val="left" w:pos="720"/>
        </w:tabs>
        <w:suppressAutoHyphens/>
        <w:jc w:val="both"/>
        <w:rPr>
          <w:rFonts w:ascii="Arial" w:hAnsi="Arial"/>
          <w:sz w:val="22"/>
        </w:rPr>
      </w:pPr>
      <w:r>
        <w:rPr>
          <w:rFonts w:ascii="Arial" w:hAnsi="Arial"/>
          <w:sz w:val="22"/>
        </w:rPr>
        <w:t xml:space="preserve">Adopted by the city council this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Style w:val="EndnoteReference"/>
          <w:rFonts w:ascii="Arial" w:hAnsi="Arial"/>
          <w:sz w:val="22"/>
        </w:rPr>
        <w:endnoteReference w:id="5"/>
      </w:r>
    </w:p>
    <w:p w14:paraId="0FEE183C" w14:textId="77777777" w:rsidR="004E109C" w:rsidRDefault="004E109C">
      <w:pPr>
        <w:tabs>
          <w:tab w:val="left" w:pos="-1080"/>
          <w:tab w:val="left" w:pos="-720"/>
          <w:tab w:val="left" w:pos="0"/>
          <w:tab w:val="left" w:pos="360"/>
          <w:tab w:val="left" w:pos="720"/>
        </w:tabs>
        <w:suppressAutoHyphens/>
        <w:jc w:val="both"/>
        <w:rPr>
          <w:rFonts w:ascii="Arial" w:hAnsi="Arial"/>
          <w:sz w:val="22"/>
        </w:rPr>
      </w:pPr>
    </w:p>
    <w:p w14:paraId="3C246C58" w14:textId="77777777" w:rsidR="004E109C" w:rsidRDefault="004E109C">
      <w:pPr>
        <w:tabs>
          <w:tab w:val="left" w:pos="-1080"/>
          <w:tab w:val="left" w:pos="-720"/>
          <w:tab w:val="left" w:pos="0"/>
          <w:tab w:val="left" w:pos="360"/>
          <w:tab w:val="left" w:pos="720"/>
        </w:tabs>
        <w:suppressAutoHyphens/>
        <w:jc w:val="both"/>
        <w:rPr>
          <w:rFonts w:ascii="Arial" w:hAnsi="Arial"/>
          <w:sz w:val="22"/>
        </w:rPr>
      </w:pPr>
    </w:p>
    <w:p w14:paraId="5C5D4ECC" w14:textId="77777777" w:rsidR="004E109C" w:rsidRDefault="004E109C">
      <w:pPr>
        <w:tabs>
          <w:tab w:val="left" w:pos="-1080"/>
          <w:tab w:val="left" w:pos="-720"/>
          <w:tab w:val="left" w:pos="0"/>
          <w:tab w:val="left" w:pos="360"/>
          <w:tab w:val="left" w:pos="720"/>
        </w:tabs>
        <w:suppressAutoHyphens/>
        <w:jc w:val="both"/>
        <w:rPr>
          <w:rFonts w:ascii="Arial" w:hAnsi="Arial"/>
          <w:sz w:val="22"/>
        </w:rPr>
      </w:pPr>
    </w:p>
    <w:p w14:paraId="02A4D85B" w14:textId="77777777" w:rsidR="004E109C" w:rsidRDefault="004E109C">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90CD249" w14:textId="77777777" w:rsidR="004E109C" w:rsidRDefault="004E109C">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Mayor</w:t>
      </w:r>
    </w:p>
    <w:p w14:paraId="4BEBE8FA" w14:textId="77777777" w:rsidR="004E109C" w:rsidRDefault="004E109C">
      <w:pPr>
        <w:tabs>
          <w:tab w:val="left" w:pos="-1080"/>
          <w:tab w:val="left" w:pos="-720"/>
          <w:tab w:val="left" w:pos="0"/>
          <w:tab w:val="left" w:pos="360"/>
          <w:tab w:val="left" w:pos="7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___________</w:t>
      </w:r>
    </w:p>
    <w:p w14:paraId="3455A0F8" w14:textId="77777777" w:rsidR="004E109C" w:rsidRDefault="004E109C">
      <w:pPr>
        <w:tabs>
          <w:tab w:val="left" w:pos="-1080"/>
          <w:tab w:val="left" w:pos="-720"/>
          <w:tab w:val="left" w:pos="0"/>
          <w:tab w:val="left" w:pos="360"/>
          <w:tab w:val="left" w:pos="720"/>
        </w:tabs>
        <w:suppressAutoHyphens/>
        <w:jc w:val="both"/>
        <w:rPr>
          <w:rFonts w:ascii="Arial" w:hAnsi="Arial"/>
          <w:sz w:val="22"/>
        </w:rPr>
      </w:pPr>
      <w:r>
        <w:rPr>
          <w:rFonts w:ascii="Arial" w:hAnsi="Arial"/>
          <w:sz w:val="22"/>
        </w:rPr>
        <w:t>City Clerk</w:t>
      </w:r>
    </w:p>
    <w:p w14:paraId="540D12B3" w14:textId="77777777" w:rsidR="004E109C" w:rsidRDefault="004E109C">
      <w:pPr>
        <w:tabs>
          <w:tab w:val="left" w:pos="-1080"/>
          <w:tab w:val="left" w:pos="-720"/>
          <w:tab w:val="left" w:pos="0"/>
          <w:tab w:val="left" w:pos="360"/>
          <w:tab w:val="left" w:pos="720"/>
        </w:tabs>
        <w:suppressAutoHyphens/>
        <w:jc w:val="both"/>
        <w:rPr>
          <w:rFonts w:ascii="Arial" w:hAnsi="Arial"/>
          <w:sz w:val="22"/>
        </w:rPr>
      </w:pPr>
    </w:p>
    <w:p w14:paraId="1493373E" w14:textId="77777777" w:rsidR="004E109C" w:rsidRDefault="004E109C">
      <w:pPr>
        <w:tabs>
          <w:tab w:val="left" w:pos="-1080"/>
          <w:tab w:val="left" w:pos="-720"/>
          <w:tab w:val="left" w:pos="0"/>
          <w:tab w:val="left" w:pos="360"/>
          <w:tab w:val="left" w:pos="720"/>
        </w:tabs>
        <w:suppressAutoHyphens/>
        <w:jc w:val="both"/>
        <w:rPr>
          <w:rFonts w:ascii="Arial" w:hAnsi="Arial"/>
          <w:sz w:val="22"/>
        </w:rPr>
      </w:pPr>
    </w:p>
    <w:p w14:paraId="6EBB13AC" w14:textId="77777777" w:rsidR="004E109C" w:rsidRDefault="004E109C">
      <w:pPr>
        <w:tabs>
          <w:tab w:val="left" w:pos="-1080"/>
          <w:tab w:val="left" w:pos="-720"/>
          <w:tab w:val="left" w:pos="0"/>
          <w:tab w:val="left" w:pos="360"/>
          <w:tab w:val="left" w:pos="720"/>
        </w:tabs>
        <w:suppressAutoHyphens/>
        <w:jc w:val="both"/>
        <w:rPr>
          <w:rFonts w:ascii="Arial" w:hAnsi="Arial"/>
          <w:sz w:val="22"/>
        </w:rPr>
      </w:pPr>
    </w:p>
    <w:p w14:paraId="19EE98A2" w14:textId="77777777" w:rsidR="004E109C" w:rsidRDefault="004E109C">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pacing w:val="-2"/>
          <w:sz w:val="18"/>
          <w:szCs w:val="18"/>
        </w:rPr>
      </w:pPr>
      <w:r>
        <w:rPr>
          <w:rFonts w:ascii="Arial" w:hAnsi="Arial"/>
          <w:b/>
          <w:spacing w:val="-2"/>
          <w:sz w:val="18"/>
          <w:szCs w:val="18"/>
        </w:rPr>
        <w:t>END OF FORM</w:t>
      </w:r>
    </w:p>
    <w:p w14:paraId="71624F19" w14:textId="77777777" w:rsidR="004E109C" w:rsidRDefault="004E109C">
      <w:pPr>
        <w:tabs>
          <w:tab w:val="left" w:pos="-1080"/>
          <w:tab w:val="left" w:pos="-720"/>
          <w:tab w:val="left" w:pos="720"/>
          <w:tab w:val="left" w:pos="1080"/>
          <w:tab w:val="left" w:pos="1440"/>
          <w:tab w:val="left" w:pos="2160"/>
          <w:tab w:val="left" w:pos="2880"/>
          <w:tab w:val="left" w:pos="5040"/>
        </w:tabs>
        <w:suppressAutoHyphens/>
        <w:spacing w:before="120" w:after="120"/>
        <w:jc w:val="both"/>
        <w:rPr>
          <w:rFonts w:ascii="Arial" w:hAnsi="Arial"/>
          <w:sz w:val="18"/>
        </w:rPr>
      </w:pPr>
    </w:p>
    <w:sectPr w:rsidR="004E109C">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4F8FE" w14:textId="77777777" w:rsidR="004E109C" w:rsidRDefault="004E109C">
      <w:pPr>
        <w:spacing w:line="20" w:lineRule="exact"/>
        <w:rPr>
          <w:sz w:val="24"/>
        </w:rPr>
      </w:pPr>
    </w:p>
  </w:endnote>
  <w:endnote w:type="continuationSeparator" w:id="0">
    <w:p w14:paraId="416EC2FD" w14:textId="77777777" w:rsidR="004E109C" w:rsidRDefault="004E109C">
      <w:r>
        <w:rPr>
          <w:sz w:val="24"/>
        </w:rPr>
        <w:t xml:space="preserve"> </w:t>
      </w:r>
    </w:p>
  </w:endnote>
  <w:endnote w:type="continuationNotice" w:id="1">
    <w:p w14:paraId="662D5DE8" w14:textId="77777777" w:rsidR="004E109C" w:rsidRDefault="004E109C">
      <w:r>
        <w:rPr>
          <w:sz w:val="24"/>
        </w:rPr>
        <w:t xml:space="preserve"> </w:t>
      </w:r>
    </w:p>
  </w:endnote>
  <w:endnote w:id="2">
    <w:p w14:paraId="52CBFF70" w14:textId="77777777" w:rsidR="004E109C" w:rsidRDefault="004E109C">
      <w:pPr>
        <w:pStyle w:val="EndnoteText"/>
      </w:pPr>
      <w:r>
        <w:rPr>
          <w:rStyle w:val="EndnoteReference"/>
        </w:rPr>
        <w:endnoteRef/>
      </w:r>
      <w:r>
        <w:t xml:space="preserve"> The contract must be let within one year of the adoption of the resolution ordering the improvement unless that resolution specified a different time limit. (Minn. Stat. § 429.041, </w:t>
      </w:r>
      <w:proofErr w:type="spellStart"/>
      <w:r>
        <w:t>subd</w:t>
      </w:r>
      <w:proofErr w:type="spellEnd"/>
      <w:r>
        <w:t>. 1.)</w:t>
      </w:r>
    </w:p>
  </w:endnote>
  <w:endnote w:id="3">
    <w:p w14:paraId="771347EC" w14:textId="77777777" w:rsidR="004E109C" w:rsidRDefault="004E109C">
      <w:pPr>
        <w:pStyle w:val="EndnoteText"/>
      </w:pPr>
      <w:r>
        <w:rPr>
          <w:rStyle w:val="EndnoteReference"/>
        </w:rPr>
        <w:endnoteRef/>
      </w:r>
      <w:r>
        <w:t xml:space="preserve"> </w:t>
      </w:r>
      <w:r>
        <w:rPr>
          <w:spacing w:val="-2"/>
        </w:rPr>
        <w:t>The council has wide discretion in determining responsibility of bidders. (</w:t>
      </w:r>
      <w:r>
        <w:rPr>
          <w:i/>
          <w:spacing w:val="-2"/>
        </w:rPr>
        <w:t xml:space="preserve">State v. </w:t>
      </w:r>
      <w:proofErr w:type="spellStart"/>
      <w:r>
        <w:rPr>
          <w:i/>
          <w:spacing w:val="-2"/>
        </w:rPr>
        <w:t>Snively</w:t>
      </w:r>
      <w:proofErr w:type="spellEnd"/>
      <w:r>
        <w:rPr>
          <w:spacing w:val="-2"/>
        </w:rPr>
        <w:t>, 175 Minn. 379, 211 N.W. 535</w:t>
      </w:r>
      <w:r>
        <w:t xml:space="preserve"> (1928); </w:t>
      </w:r>
      <w:r>
        <w:rPr>
          <w:i/>
        </w:rPr>
        <w:t>Otter Tail Power Co. v. Elbow Lake</w:t>
      </w:r>
      <w:r>
        <w:t>, 234 Minn. 419, 49 N.W.2d 197 (1951)). The statute formerly requiring more than one bid has been repealed (see Laws 1959, Ch. 261). In any event, it never did apply where the contractor was to furnish both labor and materials. (</w:t>
      </w:r>
      <w:r>
        <w:rPr>
          <w:i/>
        </w:rPr>
        <w:t>Otter Tail Power Co. v. Elbow Lake</w:t>
      </w:r>
      <w:r>
        <w:t xml:space="preserve">, </w:t>
      </w:r>
      <w:r>
        <w:rPr>
          <w:u w:val="single"/>
        </w:rPr>
        <w:t>supra</w:t>
      </w:r>
      <w:r>
        <w:t>.)</w:t>
      </w:r>
    </w:p>
    <w:p w14:paraId="39BB1994" w14:textId="77777777" w:rsidR="004E109C" w:rsidRDefault="004E109C">
      <w:pPr>
        <w:pStyle w:val="EndnoteText"/>
        <w:spacing w:before="0"/>
      </w:pPr>
      <w:r>
        <w:t>If council is using the best value contracting procurement method (Laws 2007, Ch. 148, Art. 3), this form would be adjusted to indicate the best value rather than the lowest responsible bidder.</w:t>
      </w:r>
    </w:p>
  </w:endnote>
  <w:endnote w:id="4">
    <w:p w14:paraId="59D10B85" w14:textId="77777777" w:rsidR="004E109C" w:rsidRDefault="004E109C">
      <w:pPr>
        <w:pStyle w:val="EndnoteText"/>
      </w:pPr>
      <w:r>
        <w:rPr>
          <w:rStyle w:val="EndnoteReference"/>
        </w:rPr>
        <w:endnoteRef/>
      </w:r>
      <w:r>
        <w:t xml:space="preserve"> The law permits the contract to be awarded to the next lowest bidder in case the lowest bidder fails to enter i</w:t>
      </w:r>
      <w:bookmarkStart w:id="0" w:name="_GoBack"/>
      <w:bookmarkEnd w:id="0"/>
      <w:r>
        <w:t xml:space="preserve">nto a contract. For this </w:t>
      </w:r>
      <w:proofErr w:type="gramStart"/>
      <w:r>
        <w:t>reason</w:t>
      </w:r>
      <w:proofErr w:type="gramEnd"/>
      <w:r>
        <w:t xml:space="preserve"> it seems desirable to retain the deposit not only of the lowest bidder but also of the next lowest, until a contract has been entered into.</w:t>
      </w:r>
    </w:p>
  </w:endnote>
  <w:endnote w:id="5">
    <w:p w14:paraId="43B3D578" w14:textId="77777777" w:rsidR="004E109C" w:rsidRDefault="004E109C">
      <w:pPr>
        <w:pStyle w:val="EndnoteText"/>
      </w:pPr>
      <w:r>
        <w:rPr>
          <w:rStyle w:val="EndnoteReference"/>
        </w:rPr>
        <w:endnoteRef/>
      </w:r>
      <w:r>
        <w:t xml:space="preserve"> The council does not have to award the contract at the time of opening and/or initial consideration of bids provided council reserves this right in the advertisement for bids.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021F" w14:textId="77777777" w:rsidR="004E109C" w:rsidRDefault="004E109C">
    <w:pPr>
      <w:pStyle w:val="Footer"/>
      <w:tabs>
        <w:tab w:val="clear" w:pos="8640"/>
        <w:tab w:val="right" w:pos="9360"/>
      </w:tabs>
      <w:ind w:right="360"/>
      <w:rPr>
        <w:rStyle w:val="PageNumber"/>
        <w:rFonts w:ascii="Times New Roman" w:hAnsi="Times New Roman"/>
        <w:sz w:val="18"/>
      </w:rPr>
    </w:pPr>
  </w:p>
  <w:p w14:paraId="784A2850" w14:textId="77777777" w:rsidR="004E109C" w:rsidRDefault="004E109C">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ECEE" w14:textId="44304315" w:rsidR="005E7108" w:rsidRPr="005E7108" w:rsidRDefault="005E7108">
    <w:pPr>
      <w:pStyle w:val="Footer"/>
      <w:rPr>
        <w:rFonts w:ascii="Arial" w:hAnsi="Arial" w:cs="Arial"/>
        <w:sz w:val="16"/>
        <w:szCs w:val="16"/>
      </w:rPr>
    </w:pPr>
    <w:r>
      <w:rPr>
        <w:rFonts w:ascii="Arial" w:hAnsi="Arial" w:cs="Arial"/>
        <w:sz w:val="16"/>
        <w:szCs w:val="16"/>
      </w:rPr>
      <w:t>Special Assessment Toolkit</w:t>
    </w:r>
    <w:r w:rsidRPr="005E7108">
      <w:rPr>
        <w:rFonts w:ascii="Arial" w:hAnsi="Arial" w:cs="Arial"/>
        <w:sz w:val="16"/>
        <w:szCs w:val="16"/>
      </w:rPr>
      <w:ptab w:relativeTo="margin" w:alignment="center" w:leader="none"/>
    </w:r>
    <w:r>
      <w:rPr>
        <w:rFonts w:ascii="Arial" w:hAnsi="Arial" w:cs="Arial"/>
        <w:sz w:val="16"/>
        <w:szCs w:val="16"/>
      </w:rPr>
      <w:t xml:space="preserve">Based on M.S. 429.041, </w:t>
    </w:r>
    <w:proofErr w:type="spellStart"/>
    <w:r>
      <w:rPr>
        <w:rFonts w:ascii="Arial" w:hAnsi="Arial" w:cs="Arial"/>
        <w:sz w:val="16"/>
        <w:szCs w:val="16"/>
      </w:rPr>
      <w:t>subd</w:t>
    </w:r>
    <w:proofErr w:type="spellEnd"/>
    <w:r>
      <w:rPr>
        <w:rFonts w:ascii="Arial" w:hAnsi="Arial" w:cs="Arial"/>
        <w:sz w:val="16"/>
        <w:szCs w:val="16"/>
      </w:rPr>
      <w:t>. 2</w:t>
    </w:r>
    <w:r w:rsidRPr="005E7108">
      <w:rPr>
        <w:rFonts w:ascii="Arial" w:hAnsi="Arial" w:cs="Arial"/>
        <w:sz w:val="16"/>
        <w:szCs w:val="16"/>
      </w:rPr>
      <w:ptab w:relativeTo="margin" w:alignment="right" w:leader="none"/>
    </w:r>
    <w:r w:rsidR="004A376C">
      <w:rPr>
        <w:rFonts w:ascii="Arial" w:hAnsi="Arial" w:cs="Arial"/>
        <w:sz w:val="16"/>
        <w:szCs w:val="16"/>
      </w:rPr>
      <w:t>8</w:t>
    </w:r>
    <w:r>
      <w:rPr>
        <w:rFonts w:ascii="Arial" w:hAnsi="Arial" w:cs="Arial"/>
        <w:sz w:val="16"/>
        <w:szCs w:val="16"/>
      </w:rPr>
      <w:t>/</w:t>
    </w:r>
    <w:r w:rsidR="0099124E">
      <w:rPr>
        <w:rFonts w:ascii="Arial" w:hAnsi="Arial" w:cs="Arial"/>
        <w:sz w:val="16"/>
        <w:szCs w:val="16"/>
      </w:rPr>
      <w:t>3</w:t>
    </w:r>
    <w:r w:rsidR="004A376C">
      <w:rPr>
        <w:rFonts w:ascii="Arial" w:hAnsi="Arial" w:cs="Arial"/>
        <w:sz w:val="16"/>
        <w:szCs w:val="16"/>
      </w:rPr>
      <w:t>1</w:t>
    </w:r>
    <w:r>
      <w:rPr>
        <w:rFonts w:ascii="Arial" w:hAnsi="Arial" w:cs="Arial"/>
        <w:sz w:val="16"/>
        <w:szCs w:val="16"/>
      </w:rPr>
      <w:t>/20</w:t>
    </w:r>
    <w:r w:rsidR="004A376C">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16086" w14:textId="77777777" w:rsidR="004E109C" w:rsidRDefault="004E109C">
      <w:r>
        <w:rPr>
          <w:sz w:val="24"/>
        </w:rPr>
        <w:separator/>
      </w:r>
    </w:p>
  </w:footnote>
  <w:footnote w:type="continuationSeparator" w:id="0">
    <w:p w14:paraId="2223E4D9" w14:textId="77777777" w:rsidR="004E109C" w:rsidRDefault="004E1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432"/>
    <w:rsid w:val="002C786B"/>
    <w:rsid w:val="004A376C"/>
    <w:rsid w:val="004E109C"/>
    <w:rsid w:val="005E7108"/>
    <w:rsid w:val="00832432"/>
    <w:rsid w:val="008A119F"/>
    <w:rsid w:val="0099124E"/>
    <w:rsid w:val="009A4422"/>
    <w:rsid w:val="00D3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82F361D"/>
  <w15:chartTrackingRefBased/>
  <w15:docId w15:val="{57C08BDF-45B4-445D-A724-D804A769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216</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8</cp:revision>
  <cp:lastPrinted>2008-01-23T18:44:00Z</cp:lastPrinted>
  <dcterms:created xsi:type="dcterms:W3CDTF">2014-07-07T20:48:00Z</dcterms:created>
  <dcterms:modified xsi:type="dcterms:W3CDTF">2020-09-17T18:03:00Z</dcterms:modified>
</cp:coreProperties>
</file>